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Default="009D2561">
      <w:pPr>
        <w:rPr>
          <w:b/>
        </w:rPr>
      </w:pPr>
      <w:r>
        <w:rPr>
          <w:b/>
        </w:rPr>
        <w:t>C</w:t>
      </w:r>
      <w:r w:rsidR="007F583E">
        <w:rPr>
          <w:b/>
        </w:rPr>
        <w:t>olorado</w:t>
      </w:r>
    </w:p>
    <w:p w:rsidR="0002464D" w:rsidRDefault="007317FF">
      <w:pPr>
        <w:rPr>
          <w:b/>
        </w:rPr>
      </w:pPr>
      <w:r w:rsidRPr="00E308DE">
        <w:rPr>
          <w:b/>
        </w:rPr>
        <w:t xml:space="preserve">DOT Research Page     </w:t>
      </w:r>
      <w:hyperlink r:id="rId5" w:history="1">
        <w:r w:rsidR="0002464D" w:rsidRPr="00993C6C">
          <w:rPr>
            <w:rStyle w:val="Hyperlink"/>
            <w:b/>
          </w:rPr>
          <w:t>https://www.codot.gov/programs/research</w:t>
        </w:r>
      </w:hyperlink>
    </w:p>
    <w:p w:rsidR="009D2561" w:rsidRDefault="0002464D">
      <w:pPr>
        <w:rPr>
          <w:b/>
        </w:rPr>
      </w:pPr>
      <w:r>
        <w:rPr>
          <w:b/>
        </w:rPr>
        <w:t>Research Implementation Report</w:t>
      </w:r>
      <w:r w:rsidR="009D2561">
        <w:rPr>
          <w:b/>
        </w:rPr>
        <w:t xml:space="preserve">     </w:t>
      </w:r>
      <w:hyperlink r:id="rId6" w:history="1">
        <w:r w:rsidR="005C02D7" w:rsidRPr="00993C6C">
          <w:rPr>
            <w:rStyle w:val="Hyperlink"/>
            <w:b/>
          </w:rPr>
          <w:t>file:///C:/Users/hearn/Downloads/Implementation%20Report%202015.pdf</w:t>
        </w:r>
      </w:hyperlink>
    </w:p>
    <w:p w:rsidR="007317FF" w:rsidRPr="00E308DE" w:rsidRDefault="009D2561">
      <w:pPr>
        <w:rPr>
          <w:b/>
        </w:rPr>
      </w:pPr>
      <w:r>
        <w:rPr>
          <w:b/>
        </w:rPr>
        <w:t>P</w:t>
      </w:r>
      <w:r w:rsidR="00E308DE" w:rsidRPr="00E308DE">
        <w:rPr>
          <w:b/>
        </w:rPr>
        <w:t>rojects</w:t>
      </w:r>
    </w:p>
    <w:tbl>
      <w:tblPr>
        <w:tblW w:w="4653"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61"/>
        <w:gridCol w:w="2033"/>
        <w:gridCol w:w="8652"/>
      </w:tblGrid>
      <w:tr w:rsidR="007B5657" w:rsidRPr="00A6395C" w:rsidTr="005C02D7">
        <w:trPr>
          <w:trHeight w:val="1188"/>
          <w:tblCellSpacing w:w="0" w:type="dxa"/>
        </w:trPr>
        <w:tc>
          <w:tcPr>
            <w:tcW w:w="449" w:type="pct"/>
            <w:tcBorders>
              <w:top w:val="outset" w:sz="6" w:space="0" w:color="auto"/>
              <w:left w:val="outset" w:sz="6" w:space="0" w:color="auto"/>
              <w:bottom w:val="outset" w:sz="6" w:space="0" w:color="auto"/>
              <w:right w:val="outset" w:sz="6" w:space="0" w:color="auto"/>
            </w:tcBorders>
            <w:vAlign w:val="center"/>
            <w:hideMark/>
          </w:tcPr>
          <w:p w:rsidR="007B5657" w:rsidRDefault="007B5657" w:rsidP="007B5657">
            <w:r>
              <w:t>Joints</w:t>
            </w:r>
            <w:bookmarkStart w:id="0" w:name="_GoBack"/>
            <w:bookmarkEnd w:id="0"/>
          </w:p>
        </w:tc>
        <w:tc>
          <w:tcPr>
            <w:tcW w:w="902" w:type="pct"/>
            <w:tcBorders>
              <w:top w:val="outset" w:sz="6" w:space="0" w:color="auto"/>
              <w:left w:val="outset" w:sz="6" w:space="0" w:color="auto"/>
              <w:bottom w:val="outset" w:sz="6" w:space="0" w:color="auto"/>
              <w:right w:val="outset" w:sz="6" w:space="0" w:color="auto"/>
            </w:tcBorders>
            <w:vAlign w:val="center"/>
            <w:hideMark/>
          </w:tcPr>
          <w:p w:rsidR="007B5657" w:rsidRDefault="007B5657" w:rsidP="007B5657">
            <w:r>
              <w:t>CDOT Joint Removal Implications Constructability and Thermal Analysis</w:t>
            </w:r>
          </w:p>
        </w:tc>
        <w:tc>
          <w:tcPr>
            <w:tcW w:w="36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Study No: 215.01</w:t>
            </w:r>
            <w:r>
              <w:br/>
              <w:t>With the deterioration of US infrastructure systems, bridge maintenance, performance and the necessity of deck joints and bearings has gained the attention of states, municipalities, engineers, researchers, and practitioners alike. Deck joints are designed to accommodate translational and rotational movements between two adjacent bridge spans while bearings are used in bridges to transfer vertical, translational and rotational loads from the superstructure to the abutments or piers. It is commonly recognized that deck joints and bearings are costly and complicated to install (</w:t>
            </w:r>
            <w:proofErr w:type="spellStart"/>
            <w:r>
              <w:t>Tsiatas</w:t>
            </w:r>
            <w:proofErr w:type="spellEnd"/>
            <w:r>
              <w:t xml:space="preserve"> and Boardman 2002; Wasserman 1987). In addition to greater complexity of construction, deck joints and bearings require maintenance throughout their life cycles to remain functional and to prevent damage to the superstructure (Hawk 2003). Water seepage through deck joints can cause significant corrosion to the superstructure and substructures below (Lam et al. 2008; </w:t>
            </w:r>
            <w:proofErr w:type="spellStart"/>
            <w:r>
              <w:t>Loveall</w:t>
            </w:r>
            <w:proofErr w:type="spellEnd"/>
            <w:r>
              <w:t xml:space="preserve"> 1985). </w:t>
            </w:r>
          </w:p>
        </w:tc>
      </w:tr>
      <w:tr w:rsidR="007B5657" w:rsidRPr="00A6395C" w:rsidTr="005C02D7">
        <w:trPr>
          <w:trHeight w:val="1203"/>
          <w:tblCellSpacing w:w="0" w:type="dxa"/>
        </w:trPr>
        <w:tc>
          <w:tcPr>
            <w:tcW w:w="449" w:type="pct"/>
            <w:tcBorders>
              <w:top w:val="outset" w:sz="6" w:space="0" w:color="auto"/>
              <w:left w:val="outset" w:sz="6" w:space="0" w:color="auto"/>
              <w:bottom w:val="outset" w:sz="6" w:space="0" w:color="auto"/>
              <w:right w:val="outset" w:sz="6" w:space="0" w:color="auto"/>
            </w:tcBorders>
            <w:vAlign w:val="center"/>
            <w:hideMark/>
          </w:tcPr>
          <w:p w:rsidR="007B5657" w:rsidRDefault="007B5657" w:rsidP="007B5657">
            <w:r>
              <w:t>Design</w:t>
            </w:r>
          </w:p>
        </w:tc>
        <w:tc>
          <w:tcPr>
            <w:tcW w:w="902" w:type="pct"/>
            <w:tcBorders>
              <w:top w:val="outset" w:sz="6" w:space="0" w:color="auto"/>
              <w:left w:val="outset" w:sz="6" w:space="0" w:color="auto"/>
              <w:bottom w:val="outset" w:sz="6" w:space="0" w:color="auto"/>
              <w:right w:val="outset" w:sz="6" w:space="0" w:color="auto"/>
            </w:tcBorders>
            <w:vAlign w:val="center"/>
            <w:hideMark/>
          </w:tcPr>
          <w:p w:rsidR="007B5657" w:rsidRDefault="007B5657" w:rsidP="007B5657">
            <w:r>
              <w:t>Feasibility Study of Developing and Creating a Standardized Subset of Bridge Plans</w:t>
            </w:r>
          </w:p>
        </w:tc>
        <w:tc>
          <w:tcPr>
            <w:tcW w:w="36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Study No. 214.01 </w:t>
            </w:r>
            <w:r>
              <w:br/>
              <w:t>Background : Future highway projects have the potential to benefit from the past 20 to 30 years of successfully completed projects. This has primarily resulted from favored structure types and project scales. Using the past in such a manner that allows for an accelerated and advanced starting point lends itself towards a reduction in design time and fee. This proposed subset of standardized plans is one means of implementing Colorado Department of Transportation (CDOT) and Federal Highway Administration (FHWA) mandates: Every Day Counts (EDC), Accelerated Bridge Construction (ABC), and Geosynthetic Reinforced Soil Integrated Bridge System (GRS-IBS). Incidental benefits of using prefabricated bridge elements are maximizing design concepts and speed in construction that minimizes cost. GRS-IBS specifically minimizes the stiffness of bridge approaches and correspondingly can reduce differential settlement (bridge bumps).</w:t>
            </w:r>
          </w:p>
        </w:tc>
      </w:tr>
      <w:tr w:rsidR="007B5657" w:rsidRPr="00A6395C" w:rsidTr="005C02D7">
        <w:trPr>
          <w:trHeight w:val="321"/>
          <w:tblCellSpacing w:w="0" w:type="dxa"/>
        </w:trPr>
        <w:tc>
          <w:tcPr>
            <w:tcW w:w="449" w:type="pct"/>
            <w:tcBorders>
              <w:top w:val="outset" w:sz="6" w:space="0" w:color="auto"/>
              <w:left w:val="outset" w:sz="6" w:space="0" w:color="auto"/>
              <w:bottom w:val="outset" w:sz="6" w:space="0" w:color="auto"/>
              <w:right w:val="outset" w:sz="6" w:space="0" w:color="auto"/>
            </w:tcBorders>
            <w:vAlign w:val="center"/>
            <w:hideMark/>
          </w:tcPr>
          <w:p w:rsidR="007B5657" w:rsidRDefault="007B5657" w:rsidP="007B5657">
            <w:r>
              <w:lastRenderedPageBreak/>
              <w:t xml:space="preserve">Design Superstructure </w:t>
            </w:r>
          </w:p>
        </w:tc>
        <w:tc>
          <w:tcPr>
            <w:tcW w:w="902" w:type="pct"/>
            <w:tcBorders>
              <w:top w:val="outset" w:sz="6" w:space="0" w:color="auto"/>
              <w:left w:val="outset" w:sz="6" w:space="0" w:color="auto"/>
              <w:bottom w:val="outset" w:sz="6" w:space="0" w:color="auto"/>
              <w:right w:val="outset" w:sz="6" w:space="0" w:color="auto"/>
            </w:tcBorders>
            <w:vAlign w:val="center"/>
            <w:hideMark/>
          </w:tcPr>
          <w:p w:rsidR="007B5657" w:rsidRDefault="007B5657" w:rsidP="007B5657">
            <w:r>
              <w:t>Innovative and Economical Steel Bridge Design Alternatives for Colorado: Hybrid Girders, Double-Composites, Epoxy FRP Cover Plates, and External Post Tensioning</w:t>
            </w:r>
          </w:p>
        </w:tc>
        <w:tc>
          <w:tcPr>
            <w:tcW w:w="36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Study No: 85.10 </w:t>
            </w:r>
            <w:r>
              <w:br/>
              <w:t>Background: Hybrid weld plate SMC girders are a valid competitor not only to continuous hybrid steel girders but also to the dominant precast post-tension prestressed spliced girders. However to move along from steel wide flange rolled beams to welded plate girders, more rigorous theory and validation regarding continuity, fatigue, buckling and plasticity at the negative moment region needs to be investigated. Specifically, during the Phase-I study, several key detail issues arose which have not been addressed adequately throughout the U.S. or in Colorado. These include:</w:t>
            </w:r>
          </w:p>
        </w:tc>
      </w:tr>
      <w:tr w:rsidR="007B5657" w:rsidRPr="00A6395C" w:rsidTr="005C02D7">
        <w:trPr>
          <w:trHeight w:val="1419"/>
          <w:tblCellSpacing w:w="0" w:type="dxa"/>
        </w:trPr>
        <w:tc>
          <w:tcPr>
            <w:tcW w:w="4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Exposure Concrete </w:t>
            </w:r>
          </w:p>
        </w:tc>
        <w:tc>
          <w:tcPr>
            <w:tcW w:w="902"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Surface Chloride Levels in Colorado Structural Concrete </w:t>
            </w:r>
          </w:p>
        </w:tc>
        <w:tc>
          <w:tcPr>
            <w:tcW w:w="36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Study No. 214.06 </w:t>
            </w:r>
            <w:r>
              <w:br/>
              <w:t xml:space="preserve">Background: CDOT Bridge Design and Management Branch is investigating updates to its reinforcing steel corrosion protection strategies. In order for this to result in an efficient and economical policy, the branch needs to know how surface chloride levels vary at different structures around the state, with respect to differences in local climate, traffic volume, location on the bridge (deck at wheel lines, deck at gutter, curb faces and tops, barrier faces, columns exposed to splash.) To be meaningful chloride samples need to be taken from exposed locations on bridges with similar concrete to current concretes (built after 1978), taken at a shallow depth sufficient to eliminate seasonal chloride variations (~0.5 in.). </w:t>
            </w:r>
          </w:p>
        </w:tc>
      </w:tr>
      <w:tr w:rsidR="007B5657" w:rsidRPr="00A6395C" w:rsidTr="005C02D7">
        <w:trPr>
          <w:tblCellSpacing w:w="0" w:type="dxa"/>
        </w:trPr>
        <w:tc>
          <w:tcPr>
            <w:tcW w:w="4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Monitoring Retaining wall </w:t>
            </w:r>
          </w:p>
        </w:tc>
        <w:tc>
          <w:tcPr>
            <w:tcW w:w="902"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Survey, Evaluation and Long-Term Monitoring of the EDC GRS Wall Performance for Multiple Span CDOT Bridges Replacement Project</w:t>
            </w:r>
          </w:p>
        </w:tc>
        <w:tc>
          <w:tcPr>
            <w:tcW w:w="36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Study No. 214.06 </w:t>
            </w:r>
            <w:r>
              <w:br/>
              <w:t>Background: The CDOT Region 1 project to replace the twin bridges over the Union Pacific Railroad and Smith Road incorporates innovations that implement the CDOT/FHWA mandate − EDC GRS (Geosynthetic Reinforced Soil) abutment technology. These twin bridges carry I-70 east and westbound traffic on three-span, (107’+ 158’ + 155’) horizontally-curved steel welded-plate girder structures. The mid-span piers are founded on deep foundation; however, the GRS abutments are supported by spread footings and founded on embankments.</w:t>
            </w:r>
          </w:p>
        </w:tc>
      </w:tr>
      <w:tr w:rsidR="007B5657" w:rsidRPr="00A6395C" w:rsidTr="005C02D7">
        <w:trPr>
          <w:tblCellSpacing w:w="0" w:type="dxa"/>
        </w:trPr>
        <w:tc>
          <w:tcPr>
            <w:tcW w:w="4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Policy Traffic Control </w:t>
            </w:r>
          </w:p>
        </w:tc>
        <w:tc>
          <w:tcPr>
            <w:tcW w:w="902"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Full Closure Strategic Analysis </w:t>
            </w:r>
          </w:p>
        </w:tc>
        <w:tc>
          <w:tcPr>
            <w:tcW w:w="36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Study No: 90.10 </w:t>
            </w:r>
            <w:r>
              <w:br/>
              <w:t xml:space="preserve">Background: Full closures of roadways are becoming an increasingly considered and utilized strategy to assist in completing maintenance and construction efforts. Accordingly, CDOT Headquarters and Region 6 Staff have identified a need for additional strategic consideration of </w:t>
            </w:r>
            <w:r>
              <w:lastRenderedPageBreak/>
              <w:t>full roadway closures. This study will review current full closure practices in Region 6 and elsewhere and develop an approach to judging the merits of particular full closure scenarios to equip CDOT Staff for full closure decision making. Several potential freeway and arterial full closure scenarios will be analyzed to evaluate the range of full closure impacts. Project deliverables include a decision tool to assist CDOT with future full closure scenarios.</w:t>
            </w:r>
          </w:p>
        </w:tc>
      </w:tr>
      <w:tr w:rsidR="007B5657" w:rsidRPr="00A6395C" w:rsidTr="005C02D7">
        <w:trPr>
          <w:tblCellSpacing w:w="0" w:type="dxa"/>
        </w:trPr>
        <w:tc>
          <w:tcPr>
            <w:tcW w:w="4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lastRenderedPageBreak/>
              <w:t>Scour</w:t>
            </w:r>
          </w:p>
        </w:tc>
        <w:tc>
          <w:tcPr>
            <w:tcW w:w="902"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Developing Bridge Scour Equations for Colorado Mountain Streams</w:t>
            </w:r>
          </w:p>
        </w:tc>
        <w:tc>
          <w:tcPr>
            <w:tcW w:w="36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Study No: 106.04 </w:t>
            </w:r>
            <w:r>
              <w:br/>
              <w:t>Background: The Colorado Department of Transportation builds and maintains many roadway projects that cross rivers and small streams by bridges. The safe and economic design of these bridges requires hydraulic computation of potential pier and abutment scour. For existing structures, potential pier and abutment scour computations are needed for the safety assessment of these structures. The Colorado Department of Transportation (CDOT) presently uses FHWA’s HEC-18 methods to estimate bridge pier and abutment scour values in bridge scour computations. In applying the FHWA methods, first a hydraulic computation method (FHWA’s WSPRO or US Army Corps of Engineers’ HEC-RAS) is used to compute velocities, depths, and energy slopes for the bridge site. Next, applying these computed hydraulic parameters to pier and abutment scour equations given in the FHWA’s HEC-18 design manual, scour values are computed for the bridge under consideration. Depending on the strength of flows and the regime of sediment movement, clear-water and moveable-bed scour equations are used for different bed material properties.</w:t>
            </w:r>
          </w:p>
        </w:tc>
      </w:tr>
      <w:tr w:rsidR="007B5657" w:rsidRPr="00A6395C" w:rsidTr="005C02D7">
        <w:trPr>
          <w:tblCellSpacing w:w="0" w:type="dxa"/>
        </w:trPr>
        <w:tc>
          <w:tcPr>
            <w:tcW w:w="4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Treatment Deck</w:t>
            </w:r>
          </w:p>
        </w:tc>
        <w:tc>
          <w:tcPr>
            <w:tcW w:w="902"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Evaluation of Different Types of Waterproofing Membranes (Asphaltic and Non-asphaltic) as Cost-Effective Bridge Deck Barriers in Reducing Corrosive Chloride Effects</w:t>
            </w:r>
          </w:p>
        </w:tc>
        <w:tc>
          <w:tcPr>
            <w:tcW w:w="3649" w:type="pct"/>
            <w:tcBorders>
              <w:top w:val="outset" w:sz="6" w:space="0" w:color="auto"/>
              <w:left w:val="outset" w:sz="6" w:space="0" w:color="auto"/>
              <w:bottom w:val="outset" w:sz="6" w:space="0" w:color="auto"/>
              <w:right w:val="outset" w:sz="6" w:space="0" w:color="auto"/>
            </w:tcBorders>
            <w:vAlign w:val="center"/>
          </w:tcPr>
          <w:p w:rsidR="007B5657" w:rsidRDefault="007B5657" w:rsidP="007B5657">
            <w:r>
              <w:t xml:space="preserve">Study No. 84.50 </w:t>
            </w:r>
            <w:r>
              <w:br/>
              <w:t xml:space="preserve">Background: The use of waterproofing membranes (WPM) has been the most popular method for providing some positive protection against chloride intrusion into our bridge decks. However, major concerns arise regarding the longevity of this system and its effectiveness against chloride intrusions and effectiveness as a corrosion barrier. Some of these major issues include but are not limited to maintaining the membrane thickness required per our current specification, the optimal time when this membrane should be applied after deck placement since our specs are silent regarding this constraint, the effect of construction joints or seems, the damage due to milling the existing overlay, the minimum or optimal thickness of asphalt required to protect the membrane and the freeze thaw damage incurred due to the presence of blisters after some time in service. The product of this research will be to document findings related to the field performance of different types of available membranes. This research will establish clear guideline regarding the </w:t>
            </w:r>
            <w:r>
              <w:lastRenderedPageBreak/>
              <w:t>reliability, constructability and cost effectiveness of such membranes as means for protecting bridge decks to attain the 75-year life of structure in service.</w:t>
            </w:r>
          </w:p>
        </w:tc>
      </w:tr>
    </w:tbl>
    <w:p w:rsidR="0012093F" w:rsidRDefault="00982C25"/>
    <w:sectPr w:rsidR="0012093F" w:rsidSect="005A0E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4CFA"/>
    <w:multiLevelType w:val="multilevel"/>
    <w:tmpl w:val="B346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9472D"/>
    <w:multiLevelType w:val="multilevel"/>
    <w:tmpl w:val="858A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8B"/>
    <w:rsid w:val="0002464D"/>
    <w:rsid w:val="00096C4A"/>
    <w:rsid w:val="001901F0"/>
    <w:rsid w:val="001A3442"/>
    <w:rsid w:val="002361B0"/>
    <w:rsid w:val="00271108"/>
    <w:rsid w:val="002E17F3"/>
    <w:rsid w:val="00323E50"/>
    <w:rsid w:val="00373E80"/>
    <w:rsid w:val="00377DC5"/>
    <w:rsid w:val="004867D6"/>
    <w:rsid w:val="004B498B"/>
    <w:rsid w:val="005A0EC0"/>
    <w:rsid w:val="005C02D7"/>
    <w:rsid w:val="00611788"/>
    <w:rsid w:val="00661CD5"/>
    <w:rsid w:val="007317FF"/>
    <w:rsid w:val="00786F63"/>
    <w:rsid w:val="007B5657"/>
    <w:rsid w:val="007F583E"/>
    <w:rsid w:val="0084302B"/>
    <w:rsid w:val="008B432F"/>
    <w:rsid w:val="00982C25"/>
    <w:rsid w:val="009C4019"/>
    <w:rsid w:val="009D2561"/>
    <w:rsid w:val="00A6395C"/>
    <w:rsid w:val="00AA7AFF"/>
    <w:rsid w:val="00B26D83"/>
    <w:rsid w:val="00C8484A"/>
    <w:rsid w:val="00DA1612"/>
    <w:rsid w:val="00E308DE"/>
    <w:rsid w:val="00E608F4"/>
    <w:rsid w:val="00EB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4449"/>
  <w15:chartTrackingRefBased/>
  <w15:docId w15:val="{471E199F-F439-476D-A2AA-9B731D9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484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848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608F4"/>
    <w:rPr>
      <w:vertAlign w:val="superscript"/>
    </w:rPr>
  </w:style>
  <w:style w:type="character" w:styleId="Hyperlink">
    <w:name w:val="Hyperlink"/>
    <w:basedOn w:val="DefaultParagraphFont"/>
    <w:uiPriority w:val="99"/>
    <w:unhideWhenUsed/>
    <w:rsid w:val="007317FF"/>
    <w:rPr>
      <w:color w:val="0563C1" w:themeColor="hyperlink"/>
      <w:u w:val="single"/>
    </w:rPr>
  </w:style>
  <w:style w:type="character" w:customStyle="1" w:styleId="Heading1Char">
    <w:name w:val="Heading 1 Char"/>
    <w:basedOn w:val="DefaultParagraphFont"/>
    <w:link w:val="Heading1"/>
    <w:uiPriority w:val="9"/>
    <w:rsid w:val="00C8484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8484A"/>
    <w:rPr>
      <w:rFonts w:eastAsia="Times New Roman" w:cs="Times New Roman"/>
      <w:b/>
      <w:bCs/>
      <w:sz w:val="36"/>
      <w:szCs w:val="36"/>
    </w:rPr>
  </w:style>
  <w:style w:type="paragraph" w:styleId="NoSpacing">
    <w:name w:val="No Spacing"/>
    <w:basedOn w:val="Normal"/>
    <w:uiPriority w:val="1"/>
    <w:qFormat/>
    <w:rsid w:val="00C8484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8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earn/Downloads/Implementation%20Report%202015.pdf" TargetMode="External"/><Relationship Id="rId5" Type="http://schemas.openxmlformats.org/officeDocument/2006/relationships/hyperlink" Target="https://www.codot.gov/programs/re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4</cp:revision>
  <dcterms:created xsi:type="dcterms:W3CDTF">2018-01-31T14:50:00Z</dcterms:created>
  <dcterms:modified xsi:type="dcterms:W3CDTF">2018-01-31T14:55:00Z</dcterms:modified>
</cp:coreProperties>
</file>