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Default="00AF4708">
      <w:pPr>
        <w:rPr>
          <w:b/>
        </w:rPr>
      </w:pPr>
      <w:r>
        <w:rPr>
          <w:b/>
        </w:rPr>
        <w:t>Oregon</w:t>
      </w:r>
    </w:p>
    <w:p w:rsidR="00845243" w:rsidRDefault="007317FF">
      <w:pPr>
        <w:rPr>
          <w:b/>
        </w:rPr>
      </w:pPr>
      <w:r w:rsidRPr="00E308DE">
        <w:rPr>
          <w:b/>
        </w:rPr>
        <w:t xml:space="preserve">DOT Research Page     </w:t>
      </w:r>
      <w:hyperlink r:id="rId5" w:history="1">
        <w:r w:rsidR="00845243" w:rsidRPr="00993C6C">
          <w:rPr>
            <w:rStyle w:val="Hyperlink"/>
            <w:b/>
          </w:rPr>
          <w:t>http://www.oregon.gov/ODOT/TD/TP_RES/Pages/index.aspx</w:t>
        </w:r>
      </w:hyperlink>
    </w:p>
    <w:p w:rsidR="00845243" w:rsidRDefault="00845243">
      <w:pPr>
        <w:rPr>
          <w:b/>
        </w:rPr>
      </w:pPr>
      <w:r>
        <w:rPr>
          <w:b/>
        </w:rPr>
        <w:t xml:space="preserve">Annual Report     </w:t>
      </w:r>
      <w:hyperlink r:id="rId6" w:history="1">
        <w:r w:rsidRPr="00993C6C">
          <w:rPr>
            <w:rStyle w:val="Hyperlink"/>
            <w:b/>
          </w:rPr>
          <w:t>http://www.oregon.gov/ODOT/TD/TP_RES/docs/Reports/2015/Annual_Report_2015.pdf</w:t>
        </w:r>
      </w:hyperlink>
    </w:p>
    <w:p w:rsidR="007317FF" w:rsidRPr="00E308DE" w:rsidRDefault="009D2561">
      <w:pPr>
        <w:rPr>
          <w:b/>
        </w:rPr>
      </w:pPr>
      <w:r>
        <w:rPr>
          <w:b/>
        </w:rPr>
        <w:t>P</w:t>
      </w:r>
      <w:r w:rsidR="00E308DE" w:rsidRPr="00E308DE">
        <w:rPr>
          <w:b/>
        </w:rPr>
        <w:t>rojects</w:t>
      </w:r>
    </w:p>
    <w:tbl>
      <w:tblPr>
        <w:tblW w:w="13500" w:type="dxa"/>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492"/>
        <w:gridCol w:w="4422"/>
        <w:gridCol w:w="1847"/>
        <w:gridCol w:w="5739"/>
      </w:tblGrid>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Inspection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Eyes in the Sky: Bridge Inspections with Unmanned Aerial Vehicles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787</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Tech Services Bridge Section 1/30/2018 $220,000</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Concrete Girder</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METHODS FOR STRENGTHENING REINFORCED CONCRETE BRIDGE GIRDERS CONTAINING POORLY DETAILED FLEXURAL STEEL USING NEAR</w:t>
            </w:r>
            <w:r w:rsidRPr="0077347F">
              <w:rPr>
                <w:rFonts w:ascii="Cambria Math" w:eastAsia="Times New Roman" w:hAnsi="Cambria Math" w:cs="Cambria Math"/>
                <w:sz w:val="24"/>
                <w:szCs w:val="24"/>
              </w:rPr>
              <w:t>‐</w:t>
            </w:r>
            <w:r w:rsidRPr="0077347F">
              <w:rPr>
                <w:rFonts w:eastAsia="Times New Roman" w:cs="Times New Roman"/>
                <w:sz w:val="24"/>
                <w:szCs w:val="24"/>
              </w:rPr>
              <w:t>SURFACE MOUNTED METALLICS</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SPR750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Many older reinforced concrete deck girder (RCDG)  bridges contain straight</w:t>
            </w:r>
            <w:r w:rsidRPr="0077347F">
              <w:rPr>
                <w:rFonts w:ascii="Cambria Math" w:eastAsia="Times New Roman" w:hAnsi="Cambria Math" w:cs="Cambria Math"/>
                <w:sz w:val="24"/>
                <w:szCs w:val="24"/>
              </w:rPr>
              <w:t>‐</w:t>
            </w:r>
            <w:r w:rsidRPr="0077347F">
              <w:rPr>
                <w:rFonts w:eastAsia="Times New Roman" w:cs="Times New Roman"/>
                <w:sz w:val="24"/>
                <w:szCs w:val="24"/>
              </w:rPr>
              <w:t xml:space="preserve">bar terminations of flexural  reinforcement in flexural tension zones without special  detailing. Common bridge design practice of the 1950s </w:t>
            </w:r>
            <w:r w:rsidRPr="0077347F">
              <w:rPr>
                <w:rFonts w:eastAsia="Times New Roman" w:cs="Times New Roman"/>
                <w:sz w:val="24"/>
                <w:szCs w:val="24"/>
              </w:rPr>
              <w:br/>
              <w:t xml:space="preserve">did not consider the additional demands on the  terminated bars from shear and flexure. Moreover,  application of modern design code provisions and use of </w:t>
            </w:r>
            <w:r w:rsidRPr="0077347F">
              <w:rPr>
                <w:rFonts w:eastAsia="Times New Roman" w:cs="Times New Roman"/>
                <w:sz w:val="24"/>
                <w:szCs w:val="24"/>
              </w:rPr>
              <w:br/>
              <w:t xml:space="preserve">heavier trucks contribute to insufficient bridge load  ratings when evaluating flexural anchorages in existing  RCDG bridges. Replacement of bridges with poor ratings  due to localized deficiencies is not economically feasible </w:t>
            </w:r>
            <w:r w:rsidRPr="0077347F">
              <w:rPr>
                <w:rFonts w:eastAsia="Times New Roman" w:cs="Times New Roman"/>
                <w:sz w:val="24"/>
                <w:szCs w:val="24"/>
              </w:rPr>
              <w:br/>
              <w:t xml:space="preserve">and thus strengthening methods are necessary. </w:t>
            </w:r>
            <w:r w:rsidRPr="0077347F">
              <w:rPr>
                <w:rFonts w:eastAsia="Times New Roman" w:cs="Times New Roman"/>
                <w:sz w:val="24"/>
                <w:szCs w:val="24"/>
              </w:rPr>
              <w:br/>
            </w:r>
            <w:r w:rsidRPr="0077347F">
              <w:rPr>
                <w:rFonts w:eastAsia="Times New Roman" w:cs="Times New Roman"/>
                <w:sz w:val="24"/>
                <w:szCs w:val="24"/>
              </w:rPr>
              <w:br/>
              <w:t>The goal of this research was to investigate methods for strengthening deficient flexural steel anchorages using  supplemental surface bonded metallic reinforcing bars.  Full</w:t>
            </w:r>
            <w:r w:rsidRPr="0077347F">
              <w:rPr>
                <w:rFonts w:ascii="Cambria Math" w:eastAsia="Times New Roman" w:hAnsi="Cambria Math" w:cs="Cambria Math"/>
                <w:sz w:val="24"/>
                <w:szCs w:val="24"/>
              </w:rPr>
              <w:t>‐</w:t>
            </w:r>
            <w:r w:rsidRPr="0077347F">
              <w:rPr>
                <w:rFonts w:eastAsia="Times New Roman" w:cs="Times New Roman"/>
                <w:sz w:val="24"/>
                <w:szCs w:val="24"/>
              </w:rPr>
              <w:t>scale reinforced concrete girder specimens with  typical vintage details and materials were used as test  specimens. The specimens were constructed with flexural  anchorage deficiencies by terminating some of the  embedded flexural bars past a 45° preformed diagonal  crack. The terminated bars had only one</w:t>
            </w:r>
            <w:r w:rsidRPr="0077347F">
              <w:rPr>
                <w:rFonts w:ascii="Cambria Math" w:eastAsia="Times New Roman" w:hAnsi="Cambria Math" w:cs="Cambria Math"/>
                <w:sz w:val="24"/>
                <w:szCs w:val="24"/>
              </w:rPr>
              <w:t>‐</w:t>
            </w:r>
            <w:r w:rsidRPr="0077347F">
              <w:rPr>
                <w:rFonts w:eastAsia="Times New Roman" w:cs="Times New Roman"/>
                <w:sz w:val="24"/>
                <w:szCs w:val="24"/>
              </w:rPr>
              <w:t>third of the  code</w:t>
            </w:r>
            <w:r w:rsidRPr="0077347F">
              <w:rPr>
                <w:rFonts w:ascii="Cambria Math" w:eastAsia="Times New Roman" w:hAnsi="Cambria Math" w:cs="Cambria Math"/>
                <w:sz w:val="24"/>
                <w:szCs w:val="24"/>
              </w:rPr>
              <w:t>‐</w:t>
            </w:r>
            <w:r w:rsidRPr="0077347F">
              <w:rPr>
                <w:rFonts w:eastAsia="Times New Roman" w:cs="Times New Roman"/>
                <w:sz w:val="24"/>
                <w:szCs w:val="24"/>
              </w:rPr>
              <w:t xml:space="preserve">prescribed development length past the </w:t>
            </w:r>
            <w:r w:rsidRPr="0077347F">
              <w:rPr>
                <w:rFonts w:eastAsia="Times New Roman" w:cs="Times New Roman"/>
                <w:sz w:val="24"/>
                <w:szCs w:val="24"/>
              </w:rPr>
              <w:lastRenderedPageBreak/>
              <w:t xml:space="preserve">diagonal  crack. </w:t>
            </w:r>
            <w:r w:rsidRPr="0077347F">
              <w:rPr>
                <w:rFonts w:eastAsia="Times New Roman" w:cs="Times New Roman"/>
                <w:sz w:val="24"/>
                <w:szCs w:val="24"/>
              </w:rPr>
              <w:br/>
            </w:r>
            <w:r w:rsidRPr="0077347F">
              <w:rPr>
                <w:rFonts w:eastAsia="Times New Roman" w:cs="Times New Roman"/>
                <w:sz w:val="24"/>
                <w:szCs w:val="24"/>
              </w:rPr>
              <w:br/>
              <w:t>A strengthening technique called near</w:t>
            </w:r>
            <w:r w:rsidRPr="0077347F">
              <w:rPr>
                <w:rFonts w:ascii="Cambria Math" w:eastAsia="Times New Roman" w:hAnsi="Cambria Math" w:cs="Cambria Math"/>
                <w:sz w:val="24"/>
                <w:szCs w:val="24"/>
              </w:rPr>
              <w:t>‐</w:t>
            </w:r>
            <w:r w:rsidRPr="0077347F">
              <w:rPr>
                <w:rFonts w:eastAsia="Times New Roman" w:cs="Times New Roman"/>
                <w:sz w:val="24"/>
                <w:szCs w:val="24"/>
              </w:rPr>
              <w:t xml:space="preserve">surface mounting  (NSM) was applied to the specimens. Two metallic  materials were selected for the NSM reinforcement: </w:t>
            </w:r>
            <w:r w:rsidRPr="0077347F">
              <w:rPr>
                <w:rFonts w:eastAsia="Times New Roman" w:cs="Times New Roman"/>
                <w:sz w:val="24"/>
                <w:szCs w:val="24"/>
              </w:rPr>
              <w:br/>
              <w:t>titanium and stainless steel. These materials were chosen  because of their high strength, ductility, environmental  durability, and ability to form mechanical hooks at the  ends of the bars. This study found that the NSM  strengthening technique with metallic materials  increased the deformation and load capacity of all  specimens. In addition, a case study was performed to  demonstrate the flexural strengthening for the Mosier  Bridge overcrossing of I</w:t>
            </w:r>
            <w:r w:rsidRPr="0077347F">
              <w:rPr>
                <w:rFonts w:ascii="Cambria Math" w:eastAsia="Times New Roman" w:hAnsi="Cambria Math" w:cs="Cambria Math"/>
                <w:sz w:val="24"/>
                <w:szCs w:val="24"/>
              </w:rPr>
              <w:t>‐</w:t>
            </w:r>
            <w:r w:rsidRPr="0077347F">
              <w:rPr>
                <w:rFonts w:eastAsia="Times New Roman" w:cs="Times New Roman"/>
                <w:sz w:val="24"/>
                <w:szCs w:val="24"/>
              </w:rPr>
              <w:t xml:space="preserve">84 in Oregon. The case study  demonstrated that the techniques and materials applied  to the girder were able to achieve the required strength  and provided good deformation capacity. </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lastRenderedPageBreak/>
              <w:t>Deck</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USE OF BLENDED SYNTHETIC FIBERS TO REDUCE CRACKING RISK IN HIGH PERFORMANCE CONCRETE</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SRS500</w:t>
            </w:r>
            <w:r w:rsidRPr="0077347F">
              <w:rPr>
                <w:rFonts w:ascii="Cambria Math" w:eastAsia="Times New Roman" w:hAnsi="Cambria Math" w:cs="Cambria Math"/>
                <w:sz w:val="24"/>
                <w:szCs w:val="24"/>
              </w:rPr>
              <w:t>‐</w:t>
            </w:r>
            <w:r w:rsidRPr="0077347F">
              <w:rPr>
                <w:rFonts w:eastAsia="Times New Roman" w:cs="Times New Roman"/>
                <w:sz w:val="24"/>
                <w:szCs w:val="24"/>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Early</w:t>
            </w:r>
            <w:r w:rsidRPr="0077347F">
              <w:rPr>
                <w:rFonts w:ascii="Cambria Math" w:eastAsia="Times New Roman" w:hAnsi="Cambria Math" w:cs="Cambria Math"/>
                <w:sz w:val="24"/>
                <w:szCs w:val="24"/>
              </w:rPr>
              <w:t>‐</w:t>
            </w:r>
            <w:r w:rsidRPr="0077347F">
              <w:rPr>
                <w:rFonts w:eastAsia="Times New Roman" w:cs="Times New Roman"/>
                <w:sz w:val="24"/>
                <w:szCs w:val="24"/>
              </w:rPr>
              <w:t xml:space="preserve">age bridge deck cracking is a major concern for many DOTs throughout the United States. Cracking within the first months of a bridge deck’s lifespan compromises </w:t>
            </w:r>
            <w:r w:rsidRPr="0077347F">
              <w:rPr>
                <w:rFonts w:eastAsia="Times New Roman" w:cs="Times New Roman"/>
                <w:sz w:val="24"/>
                <w:szCs w:val="24"/>
              </w:rPr>
              <w:br/>
              <w:t>its long</w:t>
            </w:r>
            <w:r w:rsidRPr="0077347F">
              <w:rPr>
                <w:rFonts w:ascii="Cambria Math" w:eastAsia="Times New Roman" w:hAnsi="Cambria Math" w:cs="Cambria Math"/>
                <w:sz w:val="24"/>
                <w:szCs w:val="24"/>
              </w:rPr>
              <w:t>‐</w:t>
            </w:r>
            <w:r w:rsidRPr="0077347F">
              <w:rPr>
                <w:rFonts w:eastAsia="Times New Roman" w:cs="Times New Roman"/>
                <w:sz w:val="24"/>
                <w:szCs w:val="24"/>
              </w:rPr>
              <w:t xml:space="preserve">term performance and durability, ultimately reducing the sustainability of this crucial piece of transportation infrastructure. This project investigated incorporating synthetic fibers into concrete to mitigate cracking. </w:t>
            </w:r>
            <w:r w:rsidRPr="0077347F">
              <w:rPr>
                <w:rFonts w:eastAsia="Times New Roman" w:cs="Times New Roman"/>
                <w:sz w:val="24"/>
                <w:szCs w:val="24"/>
              </w:rPr>
              <w:br/>
              <w:t xml:space="preserve">The results of the research showed that incorporating fibers into high performance concrete can reduce the risk of cracking and limit the width of cracks that do form. The </w:t>
            </w:r>
            <w:r w:rsidRPr="0077347F">
              <w:rPr>
                <w:rFonts w:eastAsia="Times New Roman" w:cs="Times New Roman"/>
                <w:sz w:val="24"/>
                <w:szCs w:val="24"/>
              </w:rPr>
              <w:br/>
              <w:t xml:space="preserve">research verified ODOT’s practice of allowing 5 lb./yd3 fiber dosage for bridge decks. </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Timber</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Evaluation of Pile Repair Splice Design, </w:t>
            </w:r>
            <w:r w:rsidRPr="0077347F">
              <w:rPr>
                <w:rFonts w:eastAsia="Times New Roman" w:cs="Times New Roman"/>
                <w:sz w:val="24"/>
                <w:szCs w:val="24"/>
              </w:rPr>
              <w:br/>
              <w:t>http://www.oregon.gov/ODOT/TD/TP_RES/docs/Reports/2015/WSER07R2_final.pdf</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lastRenderedPageBreak/>
              <w:t>Concrete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SHRINKAGE LIMITS FOR BRIDGE DECK CONCRETE</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Concrete reinforcement</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Titanium for Strengthening Existing Reinforced Concrete Bridges</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Live Load</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TPF</w:t>
            </w:r>
            <w:r w:rsidRPr="0077347F">
              <w:rPr>
                <w:rFonts w:ascii="Cambria Math" w:eastAsia="Times New Roman" w:hAnsi="Cambria Math" w:cs="Cambria Math"/>
                <w:sz w:val="24"/>
                <w:szCs w:val="24"/>
              </w:rPr>
              <w:t>‐</w:t>
            </w:r>
            <w:r w:rsidRPr="0077347F">
              <w:rPr>
                <w:rFonts w:eastAsia="Times New Roman" w:cs="Times New Roman"/>
                <w:sz w:val="24"/>
                <w:szCs w:val="24"/>
              </w:rPr>
              <w:t>5(283), Influence of Vehicular Live Loads on Bridge Performance</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Fatigue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TPF</w:t>
            </w:r>
            <w:r w:rsidRPr="0077347F">
              <w:rPr>
                <w:rFonts w:ascii="Cambria Math" w:eastAsia="Times New Roman" w:hAnsi="Cambria Math" w:cs="Cambria Math"/>
                <w:sz w:val="24"/>
                <w:szCs w:val="24"/>
              </w:rPr>
              <w:t>‐</w:t>
            </w:r>
            <w:r w:rsidRPr="0077347F">
              <w:rPr>
                <w:rFonts w:eastAsia="Times New Roman" w:cs="Times New Roman"/>
                <w:sz w:val="24"/>
                <w:szCs w:val="24"/>
              </w:rPr>
              <w:t>5(189), Enhancement of Welded Steel Bridge Girders Susceptible to Distortion</w:t>
            </w:r>
            <w:r w:rsidRPr="0077347F">
              <w:rPr>
                <w:rFonts w:ascii="Cambria Math" w:eastAsia="Times New Roman" w:hAnsi="Cambria Math" w:cs="Cambria Math"/>
                <w:sz w:val="24"/>
                <w:szCs w:val="24"/>
              </w:rPr>
              <w:t>‐</w:t>
            </w:r>
            <w:r w:rsidRPr="0077347F">
              <w:rPr>
                <w:rFonts w:eastAsia="Times New Roman" w:cs="Times New Roman"/>
                <w:sz w:val="24"/>
                <w:szCs w:val="24"/>
              </w:rPr>
              <w:t>Induced Fatigue</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Fracture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TPF</w:t>
            </w:r>
            <w:r w:rsidRPr="0077347F">
              <w:rPr>
                <w:rFonts w:ascii="Cambria Math" w:eastAsia="Times New Roman" w:hAnsi="Cambria Math" w:cs="Cambria Math"/>
                <w:sz w:val="24"/>
                <w:szCs w:val="24"/>
              </w:rPr>
              <w:t>‐</w:t>
            </w:r>
            <w:r w:rsidRPr="0077347F">
              <w:rPr>
                <w:rFonts w:eastAsia="Times New Roman" w:cs="Times New Roman"/>
                <w:sz w:val="24"/>
                <w:szCs w:val="24"/>
              </w:rPr>
              <w:t>5(238), Design and Fabrication Standards to Eliminate Fracture Critical Concerns in Two Girder Bridge Systems</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Scour</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FHWA</w:t>
            </w:r>
            <w:r w:rsidRPr="0077347F">
              <w:rPr>
                <w:rFonts w:ascii="Cambria Math" w:eastAsia="Times New Roman" w:hAnsi="Cambria Math" w:cs="Cambria Math"/>
                <w:sz w:val="24"/>
                <w:szCs w:val="24"/>
              </w:rPr>
              <w:t>‐</w:t>
            </w:r>
            <w:r w:rsidRPr="0077347F">
              <w:rPr>
                <w:rFonts w:eastAsia="Times New Roman" w:cs="Times New Roman"/>
                <w:sz w:val="24"/>
                <w:szCs w:val="24"/>
              </w:rPr>
              <w:t>OR</w:t>
            </w:r>
            <w:r w:rsidRPr="0077347F">
              <w:rPr>
                <w:rFonts w:ascii="Cambria Math" w:eastAsia="Times New Roman" w:hAnsi="Cambria Math" w:cs="Cambria Math"/>
                <w:sz w:val="24"/>
                <w:szCs w:val="24"/>
              </w:rPr>
              <w:t>‐</w:t>
            </w:r>
            <w:r w:rsidRPr="0077347F">
              <w:rPr>
                <w:rFonts w:eastAsia="Times New Roman" w:cs="Times New Roman"/>
                <w:sz w:val="24"/>
                <w:szCs w:val="24"/>
              </w:rPr>
              <w:t>RD</w:t>
            </w:r>
            <w:r w:rsidRPr="0077347F">
              <w:rPr>
                <w:rFonts w:ascii="Cambria Math" w:eastAsia="Times New Roman" w:hAnsi="Cambria Math" w:cs="Cambria Math"/>
                <w:sz w:val="24"/>
                <w:szCs w:val="24"/>
              </w:rPr>
              <w:t>‐</w:t>
            </w:r>
            <w:r w:rsidRPr="0077347F">
              <w:rPr>
                <w:rFonts w:eastAsia="Times New Roman" w:cs="Times New Roman"/>
                <w:sz w:val="24"/>
                <w:szCs w:val="24"/>
              </w:rPr>
              <w:t>14</w:t>
            </w:r>
            <w:r w:rsidRPr="0077347F">
              <w:rPr>
                <w:rFonts w:ascii="Cambria Math" w:eastAsia="Times New Roman" w:hAnsi="Cambria Math" w:cs="Cambria Math"/>
                <w:sz w:val="24"/>
                <w:szCs w:val="24"/>
              </w:rPr>
              <w:t>‐</w:t>
            </w:r>
            <w:r w:rsidRPr="0077347F">
              <w:rPr>
                <w:rFonts w:eastAsia="Times New Roman" w:cs="Times New Roman"/>
                <w:sz w:val="24"/>
                <w:szCs w:val="24"/>
              </w:rPr>
              <w:t>01, Effect of the Implementation of the Fluvial Performance Standard on Maintenance of Bridges and Culverts</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Concrete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FHWA</w:t>
            </w:r>
            <w:r w:rsidRPr="0077347F">
              <w:rPr>
                <w:rFonts w:ascii="Cambria Math" w:eastAsia="Times New Roman" w:hAnsi="Cambria Math" w:cs="Cambria Math"/>
                <w:sz w:val="24"/>
                <w:szCs w:val="24"/>
              </w:rPr>
              <w:t>‐</w:t>
            </w:r>
            <w:r w:rsidRPr="0077347F">
              <w:rPr>
                <w:rFonts w:eastAsia="Times New Roman" w:cs="Times New Roman"/>
                <w:sz w:val="24"/>
                <w:szCs w:val="24"/>
              </w:rPr>
              <w:t>OR</w:t>
            </w:r>
            <w:r w:rsidRPr="0077347F">
              <w:rPr>
                <w:rFonts w:ascii="Cambria Math" w:eastAsia="Times New Roman" w:hAnsi="Cambria Math" w:cs="Cambria Math"/>
                <w:sz w:val="24"/>
                <w:szCs w:val="24"/>
              </w:rPr>
              <w:t>‐</w:t>
            </w:r>
            <w:r w:rsidRPr="0077347F">
              <w:rPr>
                <w:rFonts w:eastAsia="Times New Roman" w:cs="Times New Roman"/>
                <w:sz w:val="24"/>
                <w:szCs w:val="24"/>
              </w:rPr>
              <w:t>RD</w:t>
            </w:r>
            <w:r w:rsidRPr="0077347F">
              <w:rPr>
                <w:rFonts w:ascii="Cambria Math" w:eastAsia="Times New Roman" w:hAnsi="Cambria Math" w:cs="Cambria Math"/>
                <w:sz w:val="24"/>
                <w:szCs w:val="24"/>
              </w:rPr>
              <w:t>‐</w:t>
            </w:r>
            <w:r w:rsidRPr="0077347F">
              <w:rPr>
                <w:rFonts w:eastAsia="Times New Roman" w:cs="Times New Roman"/>
                <w:sz w:val="24"/>
                <w:szCs w:val="24"/>
              </w:rPr>
              <w:t>14</w:t>
            </w:r>
            <w:r w:rsidRPr="0077347F">
              <w:rPr>
                <w:rFonts w:ascii="Cambria Math" w:eastAsia="Times New Roman" w:hAnsi="Cambria Math" w:cs="Cambria Math"/>
                <w:sz w:val="24"/>
                <w:szCs w:val="24"/>
              </w:rPr>
              <w:t>‐</w:t>
            </w:r>
            <w:r w:rsidRPr="0077347F">
              <w:rPr>
                <w:rFonts w:eastAsia="Times New Roman" w:cs="Times New Roman"/>
                <w:sz w:val="24"/>
                <w:szCs w:val="24"/>
              </w:rPr>
              <w:t>09, Development of Shrinkage Limits and Testing Protocols for ODOT High Performance Concrete</w:t>
            </w:r>
          </w:p>
        </w:tc>
      </w:tr>
      <w:tr w:rsidR="0077347F" w:rsidRPr="0077347F" w:rsidTr="0077347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Concrete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Understanding and Mitigating Effects of Chloride Deicer Exposure on Concrete</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Project </w:t>
            </w:r>
            <w:r w:rsidR="005E3574" w:rsidRPr="0077347F">
              <w:rPr>
                <w:rFonts w:eastAsia="Times New Roman" w:cs="Times New Roman"/>
                <w:sz w:val="24"/>
                <w:szCs w:val="24"/>
              </w:rPr>
              <w:t>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Steve Soltesz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Research Agency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Montana State University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Xianming Shi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Start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August 17, 2011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Completion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March 31, 2014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Develop Deicer Exposure Map of Concrete Bridge Decks. This task will develop a map showing the estimated amount of MgCl2 and NaCl deicers used on concrete bridge decks maintained by the Oregon DOT and Alaska DOT&amp;PF, along select highway sections. This will be done by surveying Oregon DOT and Alaska DOT&amp;PF maintenance personnel and/or examining the DOT maintenance management systems.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2.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Collect, Examine and Test Field Concrete Cores, In light of findings from Task 1 and with the TACs’ approval, this task will first select the bridge decks in both States for </w:t>
            </w:r>
            <w:r w:rsidRPr="0077347F">
              <w:rPr>
                <w:rFonts w:eastAsia="Times New Roman" w:cs="Times New Roman"/>
                <w:sz w:val="24"/>
                <w:szCs w:val="24"/>
              </w:rPr>
              <w:lastRenderedPageBreak/>
              <w:t xml:space="preserve">field concrete coring, with the aid of the deicer exposure maps.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3.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Develop Deicer Exposure Measurement Method, This task will develop a method to measure the deicer exposure at a specific site.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4.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Develop Deicer Damage State Tool, Past and ongoing research will be reviewed to establish associations between mineralogy, magnesium/sodium, and chloride levels, and damage.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5.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Identify and Test Mitigation Measures, Literature review </w:t>
            </w:r>
          </w:p>
        </w:tc>
      </w:tr>
      <w:tr w:rsidR="0077347F" w:rsidRPr="0077347F" w:rsidTr="0077347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Management Deck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Strategies to increase the service life of bridge decks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15-043 SPR RESEARCH PROGRAM SECOND-STAGE PROBLEM STATEMENT FY 2015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Literature review – Appropriate detection technologies and corrosion modeling approaches will be identified based on review of the literature.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2: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Detection method – Based on Task 1 outcomes, a practical method will be refined to assess the level of chloride ingress in bridge decks.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3: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Service life model – Based on Task 1, a service life model will be developed to predict time-to-damage for bridge decks in their current state and for decks after pre-emptive mitigation action. Possible mitigation actions might involve the use of sealers or coatings, or replacement of contaminated layers of the deck with micro-silica or polyester polymer concrete (PPC) overlays.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4: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Selection methodology – The Task 2 and 3 results will be incorporated into a methodology for selecting bridge decks for corrosion protection treatment. The methodology will be tested and refined on a set of ODOT bridge decks.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Task 5: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Report – The final report will include the detailed outcome of all tasks. This task will also include a concise manual </w:t>
            </w:r>
            <w:r w:rsidRPr="0077347F">
              <w:rPr>
                <w:rFonts w:eastAsia="Times New Roman" w:cs="Times New Roman"/>
                <w:sz w:val="24"/>
                <w:szCs w:val="24"/>
              </w:rPr>
              <w:lastRenderedPageBreak/>
              <w:t xml:space="preserve">for field personnel to use the methods developed in the research.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$235,000 (OSU) + $10,000 (ODOT) = $245,000 (Total) </w:t>
            </w:r>
          </w:p>
        </w:tc>
      </w:tr>
      <w:tr w:rsidR="0077347F" w:rsidRPr="0077347F" w:rsidTr="0077347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Material Reinforcing steel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High Strength Steel Reinforcement for Bridges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Project Coordinator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Steve Soltesz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Research Agency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Oregon State University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David Trejo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Start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September 25, 2013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Completion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December 31, 2016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OVERVIEW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Recent federal and state laws are placing increasing emphasis on using comprehensive transportation performance measures that include mobility, safety, economy, livability, equity, and environment to guide transportation decision making. Proof-of-concept research in SPR 375 developed a Transportation Cost Index (TCI) for use in comparing transportation performance outcomes for different modes in common terms. The TCI accomplishes this by building on the concept of the widely-used Consumer Price Index (CPI). As a result of the logic appeal of the TCI and the proof-of-concept research, this measure was adopted by the Accessibility Indicator Development Team (IDT) for the Oregon LCP project. The aim of this research project is to advance the TCI from the proof-of-concept stage to implementation in transportation performance measurement and decision-making at the state, MPO, and community levels.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OBJECTIVES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The objective of this research is to generate datasets of key mechanical properties for ASTM A706 Grade 80 reinforcing steel and modify design equations based on the </w:t>
            </w:r>
            <w:r w:rsidRPr="0077347F">
              <w:rPr>
                <w:rFonts w:eastAsia="Times New Roman" w:cs="Times New Roman"/>
                <w:sz w:val="24"/>
                <w:szCs w:val="24"/>
              </w:rPr>
              <w:lastRenderedPageBreak/>
              <w:t xml:space="preserve">datasets so that the high strength reinforcement can be used for structures in seismic regions. </w:t>
            </w:r>
          </w:p>
        </w:tc>
      </w:tr>
      <w:tr w:rsidR="0077347F" w:rsidRPr="0077347F" w:rsidTr="0077347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lastRenderedPageBreak/>
              <w:t xml:space="preserve">NDE Steel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Imaging Tools for Evaluation of Gusset Plate Connections in Steel Truss Bridges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SPR 736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Project Coordinator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Steve Soltesz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Research Agency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Oregon State University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Christopher Higgins </w:t>
            </w:r>
          </w:p>
        </w:tc>
      </w:tr>
      <w:tr w:rsidR="0077347F" w:rsidRPr="0077347F" w:rsidTr="0077347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NDE Concrete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A Corrosion Monitoring System for Existing Reinforced Concrete Structures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SPR 742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Project Coordinator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Steve Soltesz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Research Agency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Western Transportation Institute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Xianming Shi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Start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March 2011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Completion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June 2013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OBJECTIVES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The goal of this research is to provide a reliable, cost-effective corrosion monitoring system for existing ODOT reinforced concrete structures.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OVERVIEW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Reinforcement corrosion is a leading cause of premature failure of reinforced concrete and a major concern for concrete structural durability. Concern is greatest in coastal and northern states where these structures are exposed to marine environments or deicing salts respectively, such as in the State of Oregon. </w:t>
            </w:r>
            <w:r w:rsidRPr="0077347F">
              <w:rPr>
                <w:rFonts w:eastAsia="Times New Roman" w:cs="Times New Roman"/>
                <w:sz w:val="24"/>
                <w:szCs w:val="24"/>
              </w:rPr>
              <w:br/>
              <w:t xml:space="preserve">ODOT conducts labor-intensive corrosion surveys of its coastal bridges to identify structures that are expected to require future corrosion mitigation. Because of the time and cost required to conduct these surveys, the corrosion </w:t>
            </w:r>
            <w:r w:rsidRPr="0077347F">
              <w:rPr>
                <w:rFonts w:eastAsia="Times New Roman" w:cs="Times New Roman"/>
                <w:sz w:val="24"/>
                <w:szCs w:val="24"/>
              </w:rPr>
              <w:lastRenderedPageBreak/>
              <w:t xml:space="preserve">information for coastal bridges is not as complete as desired. A method of obtaining frequent corrosion data would provide better condition assessment at much lower cost than the periodic hands-on surveys. In addition, a system that measures real-time corrosion behavior could potentially be used with impressed current cathodic protection (ICCP) to adjust the protective current in a way that maximizes anode life. Unfortunately, available corrosion sensors are not adequate because of operational and data interpretation deficiencies. </w:t>
            </w:r>
          </w:p>
        </w:tc>
      </w:tr>
      <w:tr w:rsidR="0077347F" w:rsidRPr="0077347F" w:rsidTr="0077347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lastRenderedPageBreak/>
              <w:t xml:space="preserve">Treatment Concrete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Strengthening Methods for Deficient Flexural Steel Anchorages in Bridge Girders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SPR 762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Project Coordinator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Steve Soltesz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Research Agency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Oregon State University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Christopher Higgins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Start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July 2012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Completion Date for ODOT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December 2014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OVERVIEW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Many of Oregon’s reinforced concrete deck girder(RCDG) bridges built in the 1950’s have significant diagonal shear cracks. Because flexural steel anchorages in RCDG bridges have limited reserve capacity and no proven flexural strengthening methods have been validated, otherwise serviceable bridges cannot be effectively rehabilitated and may need to be replaced or posted. </w:t>
            </w:r>
            <w:r w:rsidRPr="0077347F">
              <w:rPr>
                <w:rFonts w:eastAsia="Times New Roman" w:cs="Times New Roman"/>
                <w:sz w:val="24"/>
                <w:szCs w:val="24"/>
              </w:rPr>
              <w:br/>
              <w:t xml:space="preserve">Carbon fiber reinforced polymer (CFRP) strips adhered to the concrete surface is the most expedient method for flexural strengthening, but strengthening for flexure near a crack is problematic because the crack tends to cause the strips to peel away when loaded. Near-surface mounted </w:t>
            </w:r>
            <w:r w:rsidRPr="0077347F">
              <w:rPr>
                <w:rFonts w:eastAsia="Times New Roman" w:cs="Times New Roman"/>
                <w:sz w:val="24"/>
                <w:szCs w:val="24"/>
              </w:rPr>
              <w:lastRenderedPageBreak/>
              <w:t xml:space="preserve">carbon fiber reinforced polymer (NSM-CFRP) may be an effective strengthening system even near cracks. However this technique has not been proven specifically for strengthening the steel reinforcement anchorages; therefore, design methods are lacking. In addition, because the retrofitted strengthening elements will be oriented across existing shear stirrups, the cut groove with fiber strip approach used for shear strengthening may need to be modified to avoid cutting the stirrups. </w:t>
            </w:r>
          </w:p>
        </w:tc>
      </w:tr>
      <w:tr w:rsidR="0077347F" w:rsidRPr="0077347F" w:rsidTr="00773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OBJECTIVES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The objective of the research is to provide proven options for strengthening the flexural anchorage on cracked reinforced concrete girders. </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Product Concrete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Crack Sealer Fill Characteristics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Final Report SR 500-230, 2010 </w:t>
            </w:r>
            <w:r w:rsidRPr="0077347F">
              <w:rPr>
                <w:rFonts w:eastAsia="Times New Roman" w:cs="Times New Roman"/>
                <w:sz w:val="24"/>
                <w:szCs w:val="24"/>
              </w:rPr>
              <w:br/>
              <w:t xml:space="preserve">Steven Soltesz </w:t>
            </w:r>
            <w:r w:rsidRPr="0077347F">
              <w:rPr>
                <w:rFonts w:eastAsia="Times New Roman" w:cs="Times New Roman"/>
                <w:sz w:val="24"/>
                <w:szCs w:val="24"/>
              </w:rPr>
              <w:br/>
              <w:t xml:space="preserve">1. Laboratory testing for crack fill for crack sealers composed of methyl methacrylate, epoxy, urethane, and high molecular weight methacrylate. </w:t>
            </w:r>
            <w:r w:rsidRPr="0077347F">
              <w:rPr>
                <w:rFonts w:eastAsia="Times New Roman" w:cs="Times New Roman"/>
                <w:sz w:val="24"/>
                <w:szCs w:val="24"/>
              </w:rPr>
              <w:br/>
              <w:t xml:space="preserve">2. Test specimens consisted of eight-inch long concrete cylinders with a nominal 0.010 in. crack running the length of the cylinders and unsealed at the bottom. </w:t>
            </w:r>
            <w:r w:rsidRPr="0077347F">
              <w:rPr>
                <w:rFonts w:eastAsia="Times New Roman" w:cs="Times New Roman"/>
                <w:sz w:val="24"/>
                <w:szCs w:val="24"/>
              </w:rPr>
              <w:br/>
              <w:t xml:space="preserve">3. All the sealers leaked to some degree from the bottom of the crack; </w:t>
            </w:r>
            <w:r w:rsidRPr="0077347F">
              <w:rPr>
                <w:rFonts w:eastAsia="Times New Roman" w:cs="Times New Roman"/>
                <w:sz w:val="24"/>
                <w:szCs w:val="24"/>
              </w:rPr>
              <w:br/>
              <w:t xml:space="preserve">4. Thinner crack widths were more likely to be filled than wider crack widths; </w:t>
            </w:r>
            <w:r w:rsidRPr="0077347F">
              <w:rPr>
                <w:rFonts w:eastAsia="Times New Roman" w:cs="Times New Roman"/>
                <w:sz w:val="24"/>
                <w:szCs w:val="24"/>
              </w:rPr>
              <w:br/>
              <w:t>5. The fraction of the crack length filled in a cross-section through a cylinder</w:t>
            </w:r>
            <w:r w:rsidR="00F41DBD">
              <w:rPr>
                <w:rFonts w:eastAsia="Times New Roman" w:cs="Times New Roman"/>
                <w:sz w:val="24"/>
                <w:szCs w:val="24"/>
              </w:rPr>
              <w:t xml:space="preserve"> </w:t>
            </w:r>
            <w:r w:rsidRPr="0077347F">
              <w:rPr>
                <w:rFonts w:eastAsia="Times New Roman" w:cs="Times New Roman"/>
                <w:sz w:val="24"/>
                <w:szCs w:val="24"/>
              </w:rPr>
              <w:t xml:space="preserve">was independent of the distance below the resin reservoir situated at the top of the crack; </w:t>
            </w:r>
            <w:r w:rsidRPr="0077347F">
              <w:rPr>
                <w:rFonts w:eastAsia="Times New Roman" w:cs="Times New Roman"/>
                <w:sz w:val="24"/>
                <w:szCs w:val="24"/>
              </w:rPr>
              <w:br/>
              <w:t xml:space="preserve">6. Minimum of 70% crack fill was needed to prevent water leakage. </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Protection Concrete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Replacing Thermal Sprayed Zinc Anodes On Cathodically Protected Steel Reinforced Concrete Bridges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Final Report SPR 682, 2011 </w:t>
            </w:r>
            <w:r w:rsidRPr="0077347F">
              <w:rPr>
                <w:rFonts w:eastAsia="Times New Roman" w:cs="Times New Roman"/>
                <w:sz w:val="24"/>
                <w:szCs w:val="24"/>
              </w:rPr>
              <w:br/>
              <w:t xml:space="preserve">Xianming Shi, Ph.D., P.E. Jon Doug Cross, Levi Ewan, Yajun Liu, Ph.D., Keith Fortune </w:t>
            </w:r>
            <w:r w:rsidRPr="0077347F">
              <w:rPr>
                <w:rFonts w:eastAsia="Times New Roman" w:cs="Times New Roman"/>
                <w:sz w:val="24"/>
                <w:szCs w:val="24"/>
              </w:rPr>
              <w:br/>
              <w:t xml:space="preserve">1. Arc-Sprayed </w:t>
            </w:r>
            <w:proofErr w:type="spellStart"/>
            <w:r w:rsidRPr="0077347F">
              <w:rPr>
                <w:rFonts w:eastAsia="Times New Roman" w:cs="Times New Roman"/>
                <w:sz w:val="24"/>
                <w:szCs w:val="24"/>
              </w:rPr>
              <w:t>zince</w:t>
            </w:r>
            <w:proofErr w:type="spellEnd"/>
            <w:r w:rsidRPr="0077347F">
              <w:rPr>
                <w:rFonts w:eastAsia="Times New Roman" w:cs="Times New Roman"/>
                <w:sz w:val="24"/>
                <w:szCs w:val="24"/>
              </w:rPr>
              <w:t xml:space="preserve"> anodes </w:t>
            </w:r>
            <w:r w:rsidRPr="0077347F">
              <w:rPr>
                <w:rFonts w:eastAsia="Times New Roman" w:cs="Times New Roman"/>
                <w:sz w:val="24"/>
                <w:szCs w:val="24"/>
              </w:rPr>
              <w:br/>
              <w:t xml:space="preserve">2. Electrochemical age, piers </w:t>
            </w:r>
            <w:r w:rsidRPr="0077347F">
              <w:rPr>
                <w:rFonts w:eastAsia="Times New Roman" w:cs="Times New Roman"/>
                <w:sz w:val="24"/>
                <w:szCs w:val="24"/>
              </w:rPr>
              <w:br/>
              <w:t xml:space="preserve">3. Sandblast, then </w:t>
            </w:r>
            <w:proofErr w:type="spellStart"/>
            <w:r w:rsidRPr="0077347F">
              <w:rPr>
                <w:rFonts w:eastAsia="Times New Roman" w:cs="Times New Roman"/>
                <w:sz w:val="24"/>
                <w:szCs w:val="24"/>
              </w:rPr>
              <w:t>zince</w:t>
            </w:r>
            <w:proofErr w:type="spellEnd"/>
            <w:r w:rsidRPr="0077347F">
              <w:rPr>
                <w:rFonts w:eastAsia="Times New Roman" w:cs="Times New Roman"/>
                <w:sz w:val="24"/>
                <w:szCs w:val="24"/>
              </w:rPr>
              <w:t xml:space="preserve"> </w:t>
            </w:r>
            <w:proofErr w:type="spellStart"/>
            <w:r w:rsidRPr="0077347F">
              <w:rPr>
                <w:rFonts w:eastAsia="Times New Roman" w:cs="Times New Roman"/>
                <w:sz w:val="24"/>
                <w:szCs w:val="24"/>
              </w:rPr>
              <w:t>spary</w:t>
            </w:r>
            <w:proofErr w:type="spellEnd"/>
            <w:r w:rsidRPr="0077347F">
              <w:rPr>
                <w:rFonts w:eastAsia="Times New Roman" w:cs="Times New Roman"/>
                <w:sz w:val="24"/>
                <w:szCs w:val="24"/>
              </w:rPr>
              <w:t xml:space="preserve">. </w:t>
            </w:r>
            <w:r w:rsidRPr="0077347F">
              <w:rPr>
                <w:rFonts w:eastAsia="Times New Roman" w:cs="Times New Roman"/>
                <w:sz w:val="24"/>
                <w:szCs w:val="24"/>
              </w:rPr>
              <w:br/>
              <w:t xml:space="preserve">4. Extent of surface profiling </w:t>
            </w:r>
          </w:p>
        </w:tc>
      </w:tr>
      <w:tr w:rsidR="0077347F" w:rsidRPr="0077347F" w:rsidTr="007734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lastRenderedPageBreak/>
              <w:t xml:space="preserve">Treatment Deck </w:t>
            </w:r>
          </w:p>
        </w:tc>
        <w:tc>
          <w:tcPr>
            <w:tcW w:w="0" w:type="auto"/>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Evaluation Of Thin Overlays For Bridge Decks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7347F" w:rsidRPr="0077347F" w:rsidRDefault="0077347F" w:rsidP="0077347F">
            <w:pPr>
              <w:spacing w:after="0" w:line="240" w:lineRule="auto"/>
              <w:rPr>
                <w:rFonts w:eastAsia="Times New Roman" w:cs="Times New Roman"/>
                <w:sz w:val="24"/>
                <w:szCs w:val="24"/>
              </w:rPr>
            </w:pPr>
            <w:r w:rsidRPr="0077347F">
              <w:rPr>
                <w:rFonts w:eastAsia="Times New Roman" w:cs="Times New Roman"/>
                <w:sz w:val="24"/>
                <w:szCs w:val="24"/>
              </w:rPr>
              <w:t xml:space="preserve">Final Report SPR 304-431 2010 </w:t>
            </w:r>
            <w:r w:rsidRPr="0077347F">
              <w:rPr>
                <w:rFonts w:eastAsia="Times New Roman" w:cs="Times New Roman"/>
                <w:sz w:val="24"/>
                <w:szCs w:val="24"/>
              </w:rPr>
              <w:br/>
              <w:t xml:space="preserve">Steven Soltesz </w:t>
            </w:r>
            <w:r w:rsidRPr="0077347F">
              <w:rPr>
                <w:rFonts w:eastAsia="Times New Roman" w:cs="Times New Roman"/>
                <w:sz w:val="24"/>
                <w:szCs w:val="24"/>
              </w:rPr>
              <w:br/>
              <w:t xml:space="preserve">1. thin polymer overlay systems were evaluated in the laboratory and on two bridge decks </w:t>
            </w:r>
            <w:r w:rsidRPr="0077347F">
              <w:rPr>
                <w:rFonts w:eastAsia="Times New Roman" w:cs="Times New Roman"/>
                <w:sz w:val="24"/>
                <w:szCs w:val="24"/>
              </w:rPr>
              <w:br/>
              <w:t>2. Mark 154, Flex-O-</w:t>
            </w:r>
            <w:proofErr w:type="spellStart"/>
            <w:r w:rsidRPr="0077347F">
              <w:rPr>
                <w:rFonts w:eastAsia="Times New Roman" w:cs="Times New Roman"/>
                <w:sz w:val="24"/>
                <w:szCs w:val="24"/>
              </w:rPr>
              <w:t>Lith</w:t>
            </w:r>
            <w:proofErr w:type="spellEnd"/>
            <w:r w:rsidRPr="0077347F">
              <w:rPr>
                <w:rFonts w:eastAsia="Times New Roman" w:cs="Times New Roman"/>
                <w:sz w:val="24"/>
                <w:szCs w:val="24"/>
              </w:rPr>
              <w:t xml:space="preserve">, </w:t>
            </w:r>
            <w:proofErr w:type="spellStart"/>
            <w:r w:rsidRPr="0077347F">
              <w:rPr>
                <w:rFonts w:eastAsia="Times New Roman" w:cs="Times New Roman"/>
                <w:sz w:val="24"/>
                <w:szCs w:val="24"/>
              </w:rPr>
              <w:t>Safetrack</w:t>
            </w:r>
            <w:proofErr w:type="spellEnd"/>
            <w:r w:rsidRPr="0077347F">
              <w:rPr>
                <w:rFonts w:eastAsia="Times New Roman" w:cs="Times New Roman"/>
                <w:sz w:val="24"/>
                <w:szCs w:val="24"/>
              </w:rPr>
              <w:t xml:space="preserve"> HW, Kwik Bond PPC MLS, </w:t>
            </w:r>
            <w:proofErr w:type="spellStart"/>
            <w:r w:rsidRPr="0077347F">
              <w:rPr>
                <w:rFonts w:eastAsia="Times New Roman" w:cs="Times New Roman"/>
                <w:sz w:val="24"/>
                <w:szCs w:val="24"/>
              </w:rPr>
              <w:t>Tyregrip</w:t>
            </w:r>
            <w:proofErr w:type="spellEnd"/>
            <w:r w:rsidRPr="0077347F">
              <w:rPr>
                <w:rFonts w:eastAsia="Times New Roman" w:cs="Times New Roman"/>
                <w:sz w:val="24"/>
                <w:szCs w:val="24"/>
              </w:rPr>
              <w:t xml:space="preserve">, </w:t>
            </w:r>
            <w:proofErr w:type="spellStart"/>
            <w:r w:rsidRPr="0077347F">
              <w:rPr>
                <w:rFonts w:eastAsia="Times New Roman" w:cs="Times New Roman"/>
                <w:sz w:val="24"/>
                <w:szCs w:val="24"/>
              </w:rPr>
              <w:t>SafeLane</w:t>
            </w:r>
            <w:proofErr w:type="spellEnd"/>
            <w:r w:rsidRPr="0077347F">
              <w:rPr>
                <w:rFonts w:eastAsia="Times New Roman" w:cs="Times New Roman"/>
                <w:sz w:val="24"/>
                <w:szCs w:val="24"/>
              </w:rPr>
              <w:t xml:space="preserve"> HDX, </w:t>
            </w:r>
            <w:proofErr w:type="spellStart"/>
            <w:r w:rsidRPr="0077347F">
              <w:rPr>
                <w:rFonts w:eastAsia="Times New Roman" w:cs="Times New Roman"/>
                <w:sz w:val="24"/>
                <w:szCs w:val="24"/>
              </w:rPr>
              <w:t>Urefast</w:t>
            </w:r>
            <w:proofErr w:type="spellEnd"/>
            <w:r w:rsidRPr="0077347F">
              <w:rPr>
                <w:rFonts w:eastAsia="Times New Roman" w:cs="Times New Roman"/>
                <w:sz w:val="24"/>
                <w:szCs w:val="24"/>
              </w:rPr>
              <w:t xml:space="preserve"> PF60, and Unitex </w:t>
            </w:r>
            <w:proofErr w:type="spellStart"/>
            <w:r w:rsidRPr="0077347F">
              <w:rPr>
                <w:rFonts w:eastAsia="Times New Roman" w:cs="Times New Roman"/>
                <w:sz w:val="24"/>
                <w:szCs w:val="24"/>
              </w:rPr>
              <w:t>ProPoxyType</w:t>
            </w:r>
            <w:proofErr w:type="spellEnd"/>
            <w:r w:rsidRPr="0077347F">
              <w:rPr>
                <w:rFonts w:eastAsia="Times New Roman" w:cs="Times New Roman"/>
                <w:sz w:val="24"/>
                <w:szCs w:val="24"/>
              </w:rPr>
              <w:t xml:space="preserve"> III DOT. </w:t>
            </w:r>
            <w:r w:rsidRPr="0077347F">
              <w:rPr>
                <w:rFonts w:eastAsia="Times New Roman" w:cs="Times New Roman"/>
                <w:sz w:val="24"/>
                <w:szCs w:val="24"/>
              </w:rPr>
              <w:br/>
              <w:t xml:space="preserve">3. None of the overlay systems showed superior performance under moderate average daily traffic from the standpoint of maintaining good skid resistance and resisting wear through. </w:t>
            </w:r>
            <w:r w:rsidRPr="0077347F">
              <w:rPr>
                <w:rFonts w:eastAsia="Times New Roman" w:cs="Times New Roman"/>
                <w:sz w:val="24"/>
                <w:szCs w:val="24"/>
              </w:rPr>
              <w:br/>
              <w:t xml:space="preserve">4. </w:t>
            </w:r>
            <w:proofErr w:type="spellStart"/>
            <w:r w:rsidRPr="0077347F">
              <w:rPr>
                <w:rFonts w:eastAsia="Times New Roman" w:cs="Times New Roman"/>
                <w:sz w:val="24"/>
                <w:szCs w:val="24"/>
              </w:rPr>
              <w:t>Tyregrip</w:t>
            </w:r>
            <w:proofErr w:type="spellEnd"/>
            <w:r w:rsidRPr="0077347F">
              <w:rPr>
                <w:rFonts w:eastAsia="Times New Roman" w:cs="Times New Roman"/>
                <w:sz w:val="24"/>
                <w:szCs w:val="24"/>
              </w:rPr>
              <w:t xml:space="preserve"> and </w:t>
            </w:r>
            <w:proofErr w:type="spellStart"/>
            <w:r w:rsidRPr="0077347F">
              <w:rPr>
                <w:rFonts w:eastAsia="Times New Roman" w:cs="Times New Roman"/>
                <w:sz w:val="24"/>
                <w:szCs w:val="24"/>
              </w:rPr>
              <w:t>Safetrack</w:t>
            </w:r>
            <w:proofErr w:type="spellEnd"/>
            <w:r w:rsidRPr="0077347F">
              <w:rPr>
                <w:rFonts w:eastAsia="Times New Roman" w:cs="Times New Roman"/>
                <w:sz w:val="24"/>
                <w:szCs w:val="24"/>
              </w:rPr>
              <w:t xml:space="preserve"> HW started to wear through to the concrete after exposure of approximately 1.3 million vehicles, and </w:t>
            </w:r>
            <w:proofErr w:type="spellStart"/>
            <w:r w:rsidRPr="0077347F">
              <w:rPr>
                <w:rFonts w:eastAsia="Times New Roman" w:cs="Times New Roman"/>
                <w:sz w:val="24"/>
                <w:szCs w:val="24"/>
              </w:rPr>
              <w:t>Urefast</w:t>
            </w:r>
            <w:proofErr w:type="spellEnd"/>
            <w:r w:rsidRPr="0077347F">
              <w:rPr>
                <w:rFonts w:eastAsia="Times New Roman" w:cs="Times New Roman"/>
                <w:sz w:val="24"/>
                <w:szCs w:val="24"/>
              </w:rPr>
              <w:t xml:space="preserve"> PF60 wore through much sooner. </w:t>
            </w:r>
            <w:r w:rsidRPr="0077347F">
              <w:rPr>
                <w:rFonts w:eastAsia="Times New Roman" w:cs="Times New Roman"/>
                <w:sz w:val="24"/>
                <w:szCs w:val="24"/>
              </w:rPr>
              <w:br/>
              <w:t xml:space="preserve">5. Five products that did not wear through, </w:t>
            </w:r>
            <w:r w:rsidRPr="0077347F">
              <w:rPr>
                <w:rFonts w:eastAsia="Times New Roman" w:cs="Times New Roman"/>
                <w:sz w:val="24"/>
                <w:szCs w:val="24"/>
              </w:rPr>
              <w:br/>
              <w:t xml:space="preserve">6. Empirical equations predicted the friction number of the best of these five products would decrease to 40 (equivalent to the friction number of the concrete) within five months at a traffic level of 10,000 vehicles per lane per day. </w:t>
            </w:r>
            <w:r w:rsidRPr="0077347F">
              <w:rPr>
                <w:rFonts w:eastAsia="Times New Roman" w:cs="Times New Roman"/>
                <w:sz w:val="24"/>
                <w:szCs w:val="24"/>
              </w:rPr>
              <w:br/>
              <w:t xml:space="preserve">7. Delamination from the concrete was not a major problem with the products. </w:t>
            </w:r>
            <w:r w:rsidRPr="0077347F">
              <w:rPr>
                <w:rFonts w:eastAsia="Times New Roman" w:cs="Times New Roman"/>
                <w:sz w:val="24"/>
                <w:szCs w:val="24"/>
              </w:rPr>
              <w:br/>
              <w:t xml:space="preserve">8. Laboratory tests were not able to predict performance. </w:t>
            </w:r>
          </w:p>
        </w:tc>
      </w:tr>
    </w:tbl>
    <w:p w:rsidR="0012093F" w:rsidRDefault="00FC3FB0"/>
    <w:p w:rsidR="009359D0" w:rsidRDefault="009359D0">
      <w:bookmarkStart w:id="0" w:name="_GoBack"/>
      <w:bookmarkEnd w:id="0"/>
    </w:p>
    <w:sectPr w:rsidR="009359D0" w:rsidSect="005A0E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CFA"/>
    <w:multiLevelType w:val="multilevel"/>
    <w:tmpl w:val="B346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9472D"/>
    <w:multiLevelType w:val="multilevel"/>
    <w:tmpl w:val="858A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B"/>
    <w:rsid w:val="0002464D"/>
    <w:rsid w:val="00090D40"/>
    <w:rsid w:val="00091AB7"/>
    <w:rsid w:val="00096C4A"/>
    <w:rsid w:val="00134193"/>
    <w:rsid w:val="001901F0"/>
    <w:rsid w:val="0019764C"/>
    <w:rsid w:val="001A3442"/>
    <w:rsid w:val="001E2A23"/>
    <w:rsid w:val="00206194"/>
    <w:rsid w:val="00215227"/>
    <w:rsid w:val="00215FAE"/>
    <w:rsid w:val="002361B0"/>
    <w:rsid w:val="00271108"/>
    <w:rsid w:val="002A0BC0"/>
    <w:rsid w:val="002B5FFB"/>
    <w:rsid w:val="002B7532"/>
    <w:rsid w:val="002D18C2"/>
    <w:rsid w:val="002E17F3"/>
    <w:rsid w:val="00323E50"/>
    <w:rsid w:val="0036197C"/>
    <w:rsid w:val="00365668"/>
    <w:rsid w:val="00373E80"/>
    <w:rsid w:val="00377DC5"/>
    <w:rsid w:val="004867D6"/>
    <w:rsid w:val="004B498B"/>
    <w:rsid w:val="00533644"/>
    <w:rsid w:val="00582B99"/>
    <w:rsid w:val="005A0EC0"/>
    <w:rsid w:val="005B799C"/>
    <w:rsid w:val="005C02D7"/>
    <w:rsid w:val="005D6206"/>
    <w:rsid w:val="005E3574"/>
    <w:rsid w:val="00611788"/>
    <w:rsid w:val="00613BB0"/>
    <w:rsid w:val="00661CD5"/>
    <w:rsid w:val="007317FF"/>
    <w:rsid w:val="0077347F"/>
    <w:rsid w:val="0078549E"/>
    <w:rsid w:val="00786F63"/>
    <w:rsid w:val="007B5657"/>
    <w:rsid w:val="007D3C8B"/>
    <w:rsid w:val="007F546F"/>
    <w:rsid w:val="007F583E"/>
    <w:rsid w:val="00824EE2"/>
    <w:rsid w:val="0084302B"/>
    <w:rsid w:val="00845243"/>
    <w:rsid w:val="0088792B"/>
    <w:rsid w:val="008A1706"/>
    <w:rsid w:val="008B432F"/>
    <w:rsid w:val="008D6522"/>
    <w:rsid w:val="00931722"/>
    <w:rsid w:val="009359D0"/>
    <w:rsid w:val="00982C25"/>
    <w:rsid w:val="009B265E"/>
    <w:rsid w:val="009C4019"/>
    <w:rsid w:val="009D2561"/>
    <w:rsid w:val="009F0CCD"/>
    <w:rsid w:val="00A6395C"/>
    <w:rsid w:val="00A700F6"/>
    <w:rsid w:val="00AA7AFF"/>
    <w:rsid w:val="00AF4708"/>
    <w:rsid w:val="00B26D83"/>
    <w:rsid w:val="00B879E2"/>
    <w:rsid w:val="00BA6916"/>
    <w:rsid w:val="00BB56A8"/>
    <w:rsid w:val="00C43B70"/>
    <w:rsid w:val="00C72492"/>
    <w:rsid w:val="00C8484A"/>
    <w:rsid w:val="00D0793F"/>
    <w:rsid w:val="00D3214D"/>
    <w:rsid w:val="00D8722D"/>
    <w:rsid w:val="00DA1612"/>
    <w:rsid w:val="00DA6690"/>
    <w:rsid w:val="00DE0210"/>
    <w:rsid w:val="00DE27FC"/>
    <w:rsid w:val="00DF0932"/>
    <w:rsid w:val="00E308DE"/>
    <w:rsid w:val="00E44FC4"/>
    <w:rsid w:val="00E530F0"/>
    <w:rsid w:val="00E608F4"/>
    <w:rsid w:val="00E877DE"/>
    <w:rsid w:val="00E9280F"/>
    <w:rsid w:val="00EB38CB"/>
    <w:rsid w:val="00F02E4C"/>
    <w:rsid w:val="00F41DBD"/>
    <w:rsid w:val="00F81240"/>
    <w:rsid w:val="00FC3FB0"/>
    <w:rsid w:val="00FC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449"/>
  <w15:chartTrackingRefBased/>
  <w15:docId w15:val="{471E199F-F439-476D-A2AA-9B731D9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484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848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608F4"/>
    <w:rPr>
      <w:vertAlign w:val="superscript"/>
    </w:rPr>
  </w:style>
  <w:style w:type="character" w:styleId="Hyperlink">
    <w:name w:val="Hyperlink"/>
    <w:basedOn w:val="DefaultParagraphFont"/>
    <w:uiPriority w:val="99"/>
    <w:unhideWhenUsed/>
    <w:rsid w:val="007317FF"/>
    <w:rPr>
      <w:color w:val="0563C1" w:themeColor="hyperlink"/>
      <w:u w:val="single"/>
    </w:rPr>
  </w:style>
  <w:style w:type="character" w:customStyle="1" w:styleId="Heading1Char">
    <w:name w:val="Heading 1 Char"/>
    <w:basedOn w:val="DefaultParagraphFont"/>
    <w:link w:val="Heading1"/>
    <w:uiPriority w:val="9"/>
    <w:rsid w:val="00C8484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8484A"/>
    <w:rPr>
      <w:rFonts w:eastAsia="Times New Roman" w:cs="Times New Roman"/>
      <w:b/>
      <w:bCs/>
      <w:sz w:val="36"/>
      <w:szCs w:val="36"/>
    </w:rPr>
  </w:style>
  <w:style w:type="paragraph" w:styleId="NoSpacing">
    <w:name w:val="No Spacing"/>
    <w:basedOn w:val="Normal"/>
    <w:uiPriority w:val="1"/>
    <w:qFormat/>
    <w:rsid w:val="00C8484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5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570601">
      <w:bodyDiv w:val="1"/>
      <w:marLeft w:val="0"/>
      <w:marRight w:val="0"/>
      <w:marTop w:val="0"/>
      <w:marBottom w:val="0"/>
      <w:divBdr>
        <w:top w:val="none" w:sz="0" w:space="0" w:color="auto"/>
        <w:left w:val="none" w:sz="0" w:space="0" w:color="auto"/>
        <w:bottom w:val="none" w:sz="0" w:space="0" w:color="auto"/>
        <w:right w:val="none" w:sz="0" w:space="0" w:color="auto"/>
      </w:divBdr>
    </w:div>
    <w:div w:id="1081021226">
      <w:bodyDiv w:val="1"/>
      <w:marLeft w:val="0"/>
      <w:marRight w:val="0"/>
      <w:marTop w:val="0"/>
      <w:marBottom w:val="0"/>
      <w:divBdr>
        <w:top w:val="none" w:sz="0" w:space="0" w:color="auto"/>
        <w:left w:val="none" w:sz="0" w:space="0" w:color="auto"/>
        <w:bottom w:val="none" w:sz="0" w:space="0" w:color="auto"/>
        <w:right w:val="none" w:sz="0" w:space="0" w:color="auto"/>
      </w:divBdr>
    </w:div>
    <w:div w:id="13838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ODOT/TD/TP_RES/docs/Reports/2015/Annual_Report_2015.pdf" TargetMode="External"/><Relationship Id="rId5" Type="http://schemas.openxmlformats.org/officeDocument/2006/relationships/hyperlink" Target="http://www.oregon.gov/ODOT/TD/TP_RES/Pages/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2018-01-31T15:52:00Z</dcterms:created>
  <dcterms:modified xsi:type="dcterms:W3CDTF">2018-01-31T16:00:00Z</dcterms:modified>
</cp:coreProperties>
</file>